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562</w:t>
      </w:r>
    </w:p>
    <w:p>
      <w:r>
        <w:t>Bundesgericht (BGE), 2009-08-06, FR</w:t>
      </w:r>
    </w:p>
    <w:p>
      <w:r>
        <w:rPr>
          <w:b/>
        </w:rPr>
        <w:t xml:space="preserve">Quelle: </w:t>
      </w:r>
      <w:r>
        <w:t>https://mcp.opencaselaw.ch/entscheid/bge_135 III 562</w:t>
      </w:r>
    </w:p>
    <w:p>
      <w:r>
        <w:t>FR: ATF 135 III 562</w:t>
      </w:r>
    </w:p>
    <w:p>
      <w:r>
        <w:t>IT: DTF 135 III 562</w:t>
      </w:r>
    </w:p>
    <w:p>
      <w:pPr>
        <w:pStyle w:val="Heading2"/>
      </w:pPr>
      <w:r>
        <w:t>Regeste</w:t>
      </w:r>
    </w:p>
    <w:p>
      <w:r>
        <w:t>Regeste Art. 117 IPRG; Art. 468 Abs. 1 OR. Anwendbares Recht; Annahme einer Anweisung. Auf die Anweisung ist das Recht des Staates anwendbar, in dem der Angewiesene seinen gewöhnlichen Aufenthalt oder seine Niederlassung hat (E. 3.2). Der Angewiesene, der den Anweisungsempfänger der Transparenz halber über die Entwicklung des Geschäfts informiert, bekundet damit nicht seinen Willen, sich ihm gegenüber zu verpflichten; ihn trifft damit keinerlei Verbindlichkeit diesem gegenüber (E. 3.4).</w:t>
      </w:r>
    </w:p>
    <w:p>
      <w:pPr>
        <w:pStyle w:val="Heading2"/>
      </w:pPr>
      <w:r>
        <w:t>Erwägungen</w:t>
      </w:r>
    </w:p>
    <w:p>
      <w:r>
        <w:rPr>
          <w:b/>
        </w:rPr>
        <w:t>E. 3.1</w:t>
      </w:r>
    </w:p>
    <w:p>
      <w:r>
        <w:t>Il résulte de l'état de fait cantonal - qui lie le Tribunal fédéral ( art. 105 al. 1 LTF ) - qu'il y a eu deux assignations. Premièrement, les vendeurs ont chargé le notaire de verser une certaine somme au recourant; deuxièmement, le notaire a chargé la banque W. de verser cette somme au recourant.</w:t>
      </w:r>
    </w:p>
    <w:p>
      <w:r>
        <w:rPr>
          <w:b/>
        </w:rPr>
        <w:t>E. 3.2</w:t>
      </w:r>
    </w:p>
    <w:p>
      <w:r>
        <w:t>En raison du domicile à l'étranger de l'assignataire (le recourant), ces deux assignations revêtent un caractère international. Le Tribunal fédéral, saisi d'un recours en matière civile, doit donc examiner d'office la question du droit applicable ( ATF 131 III 153 consid. 3 p. 156). La qualification doit être opérée selon la loi du for ( ATF 132 III 609 consid. 4 p. 615; ATF 131 III 511 consid. 2.1 p. 515). Le droit applicable doit être déterminé selon le droit international privé du for; en l'absence de convention internationale applicable, le juge suisse applique donc la LDIP (RS 291; cf. ATF 133 III 37 consid. 2 p. 39). Il n'est pas douteux que les rapports juridiques en cause doivent être qualifiés, selon le droit suisse, d'assignation au sens de l' art. 466 CO . En l'absence d'élection de droit ( art. 116 LDIP ), l'assignation est régie par la loi de l'Etat dans lequel l'assigné à sa résidence habituelle ou son établissement, parce que c'est lui qui fournit la prestation caractéristique ( art. 117 al. 2 et al. 3 let . c LDIP; ATF 132 III 609 consid. 4 p. 615; ATF 127 III 553 consid. 2d p. 556; ATF 121 III 109 consid. 2 p. 111). Dans les deux assignations évoquées, l'assigné a son établissement en Suisse, de sorte que le litige relève entièrement du droit suisse.</w:t>
      </w:r>
    </w:p>
    <w:p>
      <w:r>
        <w:rPr>
          <w:b/>
        </w:rPr>
        <w:t>E. 3.3</w:t>
      </w:r>
    </w:p>
    <w:p>
      <w:r>
        <w:t>En ce qui concerne la seconde assignation, il résulte des constatations cantonales que l'assignant (le notaire) a révoqué l'assignation. Selon l' art. 470 al. 2 CO , l'assignant peut révoquer l'assignation à l'égard de l'assigné aussi longtemps que celui-ci n'a pas notifié son acceptation à l'assignataire; il peut exercer ce droit même si l'assignant ne pourrait pas révoquer l'assignation à l'égard de l'assignataire selon la règle de l' art. 470 al. 1 CO ( ATF 121 III 109 consid. 3a p. 112). Il ne ressort pas des constatations cantonales - et le recourant ne prétend pas le contraire - que la banque W., en sa qualité d'assignée, avait notifié son acceptation au recourant. En conséquence le notaire, en tant qu'assignant, était en droit BGE 135 III 562 S. 565 de révoquer cette assignation. Le recourant ne peut dès lors tirer aucun droit d'une assignation qui a été valablement révoquée; il ne tente d'ailleurs pas de démontrer le contraire.</w:t>
      </w:r>
    </w:p>
    <w:p>
      <w:r>
        <w:rPr>
          <w:b/>
        </w:rPr>
        <w:t>E. 3.4</w:t>
      </w:r>
    </w:p>
    <w:p>
      <w:r>
        <w:t>Le litige se concentre donc sur la première assignation. Il faut rappeler que dans celle-ci les vendeurs sont les assignants, le notaire est l'assigné et le recourant est l'assignataire. Le recourant, en sa qualité d'assignataire, prétend avoir une créance à l'encontre du notaire, qui est l'assigné. Dans une assignation, il n'y a précisément pas de rapport juridique entre l'assigné et l'assignataire, aussi longtemps que l'assigné n'a pas notifié son acceptation à l'assignataire ( art. 468 al. 1 CO ). Il faut donc examiner si le notaire a notifié au recourant son acceptation de l'assignation. Il ne faut pas confondre l'acceptation à l'égard de l'assignant (cf. art. 467 al. 3 CO ) et l'acceptation à l'égard de l'assignataire ( art. 468 al. 1 CO ). Lorsque l'assigné manifeste son acceptation à l'égard de l'assignant pour l'ordre que celui-ci lui donne, il conclut avec lui le contrat d'assignation; l'assigné ne devient cependant débiteur de l'assignataire que si, en plus d'accepter l'assignation, il lui notifie son acceptation de l'ordre sans faire de réserve, ce qui le rend directement débiteur à l'égard de l'assignataire, la dette étant alors considérée comme abstraite ( ATF 127 III 553 consid. 2e/bb p. 557). La notification de l'acceptation au sens de l' art. 468 al. 1 CO est une manifestation de volonté que l'assigné adresse à l'assignataire; elle n'a pas besoin de revêtir une forme spéciale et peut résulter d'actes concluants ( ATF 127 III 553 consid. 2e/bb p. 557; ATF 122 III 237 consid. 3b p. 242; ATF 121 III 109 consid. 3a p. 112). Il faut cependant que l'assignataire puisse croire de bonne foi, en se fondant sur la manifestation de volonté, que l'assigné a l'intention de s'engager à son égard ( ATF 127 III 553 consid. 2e/bb p. 557; ATF 122 III 237 consid. 3b p. 242 et les arrêts cités). Que l'assigné envoie à l'assignataire une copie d'un ordre de paiement, dans un souci de transparence, ne permet pas encore de déduire qu'il a l'intention de s'engager personnellement à l'égard de l'assignataire ( ATF 127 III 553 consid. 2e/bb p. 557 s.). En l'espèce, il ne ressort pas des constatations cantonales - qui lient le Tribunal fédéral ( art. 105 al. 1 LTF ) - que le notaire aurait, par une déclaration ou un comportement, manifesté la volonté de BGE 135 III 562 S. 566 s'engager personnellement à l'égard du recourant. Il ressort des circonstances - qui ne pouvaient échapper au recourant - que le notaire était le mandataire ou le représentant des vendeurs; le prix de vente ayant été versé en ses mains, il était prêt à en disposer conformément aux instructions de ses mandants; dès qu'il est apparu que les premières instructions ne pouvaient pas être suivies en raison de l'opposition de la banque V., il a bloqué le paiement en faveur du recourant. Peu importe que le notaire, dans un souci de transparence, ait tenu le recourant constamment informé de la situation. Il résulte de la jurisprudence rappelée ci-dessus qu'une information sur le déroulement des opérations n'implique pas encore un engagement de payer. L'idée que le notaire s'engagerait personnellement à payer même si les fonds ne sont pas (ou plus) à sa disposition est d'ailleurs complètement étrangère à la pratique du notariat. Un tel engagement ne pourrait être admis que s'il résultait d'une manifestation de volonté suffisamment significative. Il ne ressort pas de l'état de fait cantonal que le notaire se serait, d'une façon ou d'une autre, engagé personnellement à l'égard du recourant à lui payer le montant litigieux. En concluant que le notaire n'avait pas notifié au recourant une acceptation sans réserve (donc indépendamment de la disponibilité des fonds), la cour cantonale n'a pas violé l' art. 468 al. 1 CO . Dès lors que le recourant n'avait pas de créance directe contre l'intimé, c'est à juste titre que la demande a été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